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3115" w14:textId="77777777" w:rsidR="005368CD" w:rsidRPr="001070DD" w:rsidRDefault="005368CD" w:rsidP="005368C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422AC640" w14:textId="77777777" w:rsidR="005368CD" w:rsidRPr="001070DD" w:rsidRDefault="005368CD" w:rsidP="005368C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  <w:u w:val="single"/>
        </w:rPr>
        <w:t>Độc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  <w:u w:val="single"/>
        </w:rPr>
        <w:t>lập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–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  <w:u w:val="single"/>
        </w:rPr>
        <w:t>Tự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do –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  <w:u w:val="single"/>
        </w:rPr>
        <w:t>Hạnh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  <w:u w:val="single"/>
        </w:rPr>
        <w:t>phúc</w:t>
      </w:r>
      <w:proofErr w:type="spellEnd"/>
    </w:p>
    <w:p w14:paraId="7E0453FF" w14:textId="77777777" w:rsidR="005368CD" w:rsidRPr="001070DD" w:rsidRDefault="005368CD" w:rsidP="005368C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b/>
          <w:bCs/>
          <w:sz w:val="26"/>
          <w:szCs w:val="26"/>
        </w:rPr>
        <w:t>HỢP ĐỒNG THI CÔNG NỘI THẤT</w:t>
      </w:r>
    </w:p>
    <w:p w14:paraId="07175A2C" w14:textId="77777777" w:rsidR="005368CD" w:rsidRPr="001070DD" w:rsidRDefault="005368CD" w:rsidP="005368C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Căn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cứ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Bộ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luật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dân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sự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2015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Quốc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nước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Cộng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hòa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xã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nghĩa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Việt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Nam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thông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qua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24/11/2015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hiệu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lực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01/01/2017.</w:t>
      </w:r>
    </w:p>
    <w:p w14:paraId="25EAF944" w14:textId="77777777" w:rsidR="005368CD" w:rsidRPr="001070DD" w:rsidRDefault="005368CD" w:rsidP="005368C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Căn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cứ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Luật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thương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mại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2005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Quốc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nước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Cộng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hòa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xã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nghĩa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Việt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Nam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thông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qua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14/6/2005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hiệu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lực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01/01/2006.</w:t>
      </w:r>
    </w:p>
    <w:p w14:paraId="426970C8" w14:textId="77777777" w:rsidR="005368CD" w:rsidRPr="001070DD" w:rsidRDefault="005368CD" w:rsidP="005368C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Căn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cứ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vào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nhu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cầu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năng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lực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hai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i/>
          <w:iCs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621882A5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070DD">
        <w:rPr>
          <w:rFonts w:ascii="Times New Roman" w:hAnsi="Times New Roman" w:cs="Times New Roman"/>
          <w:sz w:val="26"/>
          <w:szCs w:val="26"/>
        </w:rPr>
        <w:t>… ,</w:t>
      </w:r>
      <w:proofErr w:type="gram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:</w:t>
      </w:r>
    </w:p>
    <w:p w14:paraId="6158D38C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A: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đầu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tư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hoặc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đại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diện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đầu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tư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27B8995F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: …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: …</w:t>
      </w:r>
    </w:p>
    <w:p w14:paraId="6FE0A07C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sz w:val="26"/>
          <w:szCs w:val="26"/>
        </w:rPr>
        <w:t xml:space="preserve">CMND </w:t>
      </w:r>
      <w:proofErr w:type="spellStart"/>
      <w:proofErr w:type="gramStart"/>
      <w:r w:rsidRPr="001070D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:…/…/…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…</w:t>
      </w:r>
    </w:p>
    <w:p w14:paraId="1779A01F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: …</w:t>
      </w:r>
    </w:p>
    <w:p w14:paraId="30008E78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: …</w:t>
      </w:r>
    </w:p>
    <w:p w14:paraId="206656D4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B: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Đơn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vị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thất</w:t>
      </w:r>
      <w:proofErr w:type="spellEnd"/>
    </w:p>
    <w:p w14:paraId="111DD690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1070DD">
        <w:rPr>
          <w:rFonts w:ascii="Times New Roman" w:hAnsi="Times New Roman" w:cs="Times New Roman"/>
          <w:sz w:val="26"/>
          <w:szCs w:val="26"/>
        </w:rPr>
        <w:t>CÔNG TY CP XÂY DỰNG KIẾN TRÚC VÀ NỘI THẤT EDEN LUXURY</w:t>
      </w:r>
    </w:p>
    <w:p w14:paraId="40BD1A18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sz w:val="26"/>
          <w:szCs w:val="26"/>
        </w:rPr>
        <w:t>MST: 0109135005</w:t>
      </w:r>
    </w:p>
    <w:p w14:paraId="319EE502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070D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070DD">
        <w:rPr>
          <w:rFonts w:ascii="Times New Roman" w:hAnsi="Times New Roman" w:cs="Times New Roman"/>
          <w:sz w:val="26"/>
          <w:szCs w:val="26"/>
        </w:rPr>
        <w:t xml:space="preserve"> …</w:t>
      </w:r>
    </w:p>
    <w:p w14:paraId="37C452D9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trụ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Tầng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2,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242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Vạn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Vạn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Nam</w:t>
      </w:r>
    </w:p>
    <w:p w14:paraId="01AB0F80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0866 888 622 – 0385 888 622</w:t>
      </w:r>
    </w:p>
    <w:p w14:paraId="1A7E4B9D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Hai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thống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nhất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ký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thất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tại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trình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A277CA8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: …</w:t>
      </w:r>
    </w:p>
    <w:p w14:paraId="57E639D5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070D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14:paraId="36458383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dung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khối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lượng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việc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cần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cập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trong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mẫu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</w:p>
    <w:p w14:paraId="23D2F7FB" w14:textId="77777777" w:rsidR="005368CD" w:rsidRPr="001070DD" w:rsidRDefault="005368CD" w:rsidP="005368C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trúc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1929"/>
        <w:gridCol w:w="2076"/>
        <w:gridCol w:w="900"/>
        <w:gridCol w:w="720"/>
        <w:gridCol w:w="1530"/>
        <w:gridCol w:w="1530"/>
      </w:tblGrid>
      <w:tr w:rsidR="005368CD" w:rsidRPr="001070DD" w14:paraId="1DC1B6DD" w14:textId="77777777" w:rsidTr="00DC5A18">
        <w:trPr>
          <w:trHeight w:val="91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802548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lastRenderedPageBreak/>
              <w:t xml:space="preserve">STT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2337D7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TÊN SẢN PHẨM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21F02C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KÍCH THƯỚC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07A33E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 xml:space="preserve">ĐVT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0E8ADE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SL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F23E8A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 xml:space="preserve">ĐƠN GIÁ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561072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 xml:space="preserve">THÀNH TIỀN </w:t>
            </w:r>
          </w:p>
        </w:tc>
      </w:tr>
      <w:tr w:rsidR="005368CD" w:rsidRPr="001070DD" w14:paraId="74D76027" w14:textId="77777777" w:rsidTr="00DC5A18">
        <w:trPr>
          <w:trHeight w:val="630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100C5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vi-VN" w:eastAsia="vi-VN"/>
              </w:rPr>
              <w:t>PHÒNG NGỦ CHÍNH</w:t>
            </w:r>
          </w:p>
        </w:tc>
      </w:tr>
      <w:tr w:rsidR="005368CD" w:rsidRPr="001070DD" w14:paraId="58C67ECF" w14:textId="77777777" w:rsidTr="00DC5A18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A92A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6070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Tủ </w:t>
            </w:r>
            <w:proofErr w:type="spellStart"/>
            <w:r w:rsidRPr="001070DD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quần</w:t>
            </w:r>
            <w:proofErr w:type="spellEnd"/>
            <w:r w:rsidRPr="001070DD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áo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7AAA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1720 x 600 x 2650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744B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cái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455A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5AF2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DA2B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5368CD" w:rsidRPr="001070DD" w14:paraId="5B496425" w14:textId="77777777" w:rsidTr="00DC5A18">
        <w:trPr>
          <w:trHeight w:val="37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A736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9E8E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Tủ </w:t>
            </w:r>
            <w:proofErr w:type="spellStart"/>
            <w:r w:rsidRPr="001070DD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quần</w:t>
            </w:r>
            <w:proofErr w:type="spellEnd"/>
            <w:r w:rsidRPr="001070DD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áo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828E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1665 x 600 x 2650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5AAC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cái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7791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AB8C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0AB3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5368CD" w:rsidRPr="001070DD" w14:paraId="0939F855" w14:textId="77777777" w:rsidTr="00DC5A18">
        <w:trPr>
          <w:trHeight w:val="37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C798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D821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T</w:t>
            </w:r>
            <w:r w:rsidRPr="001070DD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ap</w:t>
            </w: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 đầu giường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2F85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600 x 420 x 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0BD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cái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3A09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27AA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67AC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5368CD" w:rsidRPr="001070DD" w14:paraId="1547C990" w14:textId="77777777" w:rsidTr="00DC5A18">
        <w:trPr>
          <w:trHeight w:val="37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919D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DCC2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Giường </w:t>
            </w:r>
            <w:proofErr w:type="spellStart"/>
            <w:r w:rsidRPr="001070DD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ngăn</w:t>
            </w:r>
            <w:proofErr w:type="spellEnd"/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 kéo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E0D3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1600 x 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AE75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cái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9400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8125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2450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5368CD" w:rsidRPr="001070DD" w14:paraId="484BF3AB" w14:textId="77777777" w:rsidTr="00DC5A18">
        <w:trPr>
          <w:trHeight w:val="379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4B23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75E7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Bàn phấn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DFE2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1270 x 450 x 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A715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cái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37E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1.00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A412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2493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5368CD" w:rsidRPr="001070DD" w14:paraId="41AB76AA" w14:textId="77777777" w:rsidTr="00DC5A18">
        <w:trPr>
          <w:trHeight w:val="379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BFEA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30D9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Kệ </w:t>
            </w:r>
            <w:proofErr w:type="spellStart"/>
            <w:r w:rsidRPr="001070DD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phát</w:t>
            </w:r>
            <w:proofErr w:type="spellEnd"/>
            <w:r w:rsidRPr="001070DD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1070DD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>sinh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18D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CD91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cái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0A5F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1.00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980F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E1C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</w:p>
        </w:tc>
      </w:tr>
      <w:tr w:rsidR="005368CD" w:rsidRPr="001070DD" w14:paraId="5BB2A676" w14:textId="77777777" w:rsidTr="00DC5A18">
        <w:trPr>
          <w:trHeight w:val="379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1DF7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TỔNG CỘNG 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6E23" w14:textId="77777777" w:rsidR="005368CD" w:rsidRPr="001070DD" w:rsidRDefault="005368CD" w:rsidP="00DC5A1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13A5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</w:tr>
      <w:tr w:rsidR="005368CD" w:rsidRPr="001070DD" w14:paraId="6859DC40" w14:textId="77777777" w:rsidTr="00DC5A18">
        <w:trPr>
          <w:trHeight w:val="379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F114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CHIẾT KHẤU %: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81E7" w14:textId="77777777" w:rsidR="005368CD" w:rsidRPr="001070DD" w:rsidRDefault="005368CD" w:rsidP="00DC5A1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5BA8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</w:tr>
      <w:tr w:rsidR="005368CD" w:rsidRPr="001070DD" w14:paraId="7956EC6E" w14:textId="77777777" w:rsidTr="00DC5A18">
        <w:trPr>
          <w:trHeight w:val="435"/>
        </w:trPr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6123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 xml:space="preserve"> TỔNG CỘNG SAU CHIẾT KHẤU: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5D0C" w14:textId="77777777" w:rsidR="005368CD" w:rsidRPr="001070DD" w:rsidRDefault="005368CD" w:rsidP="00DC5A1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1070D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6D53" w14:textId="77777777" w:rsidR="005368CD" w:rsidRPr="001070DD" w:rsidRDefault="005368CD" w:rsidP="00DC5A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</w:p>
        </w:tc>
      </w:tr>
    </w:tbl>
    <w:p w14:paraId="16B92BA7" w14:textId="77777777" w:rsidR="005368CD" w:rsidRPr="001070DD" w:rsidRDefault="005368CD" w:rsidP="005368C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s-ES"/>
        </w:rPr>
      </w:pPr>
    </w:p>
    <w:p w14:paraId="58CC6A87" w14:textId="77777777" w:rsidR="005368CD" w:rsidRPr="001070DD" w:rsidRDefault="005368CD" w:rsidP="005368C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s-ES"/>
        </w:rPr>
      </w:pPr>
      <w:r w:rsidRPr="001070DD">
        <w:rPr>
          <w:rFonts w:ascii="Times New Roman" w:hAnsi="Times New Roman" w:cs="Times New Roman"/>
          <w:b/>
          <w:i/>
          <w:sz w:val="26"/>
          <w:szCs w:val="26"/>
          <w:lang w:val="es-ES"/>
        </w:rPr>
        <w:t xml:space="preserve"> (</w:t>
      </w:r>
      <w:proofErr w:type="spellStart"/>
      <w:r w:rsidRPr="001070DD">
        <w:rPr>
          <w:rFonts w:ascii="Times New Roman" w:hAnsi="Times New Roman" w:cs="Times New Roman"/>
          <w:b/>
          <w:i/>
          <w:sz w:val="26"/>
          <w:szCs w:val="26"/>
          <w:lang w:val="es-ES"/>
        </w:rPr>
        <w:t>Bằng</w:t>
      </w:r>
      <w:proofErr w:type="spellEnd"/>
      <w:r w:rsidRPr="001070DD">
        <w:rPr>
          <w:rFonts w:ascii="Times New Roman" w:hAnsi="Times New Roman" w:cs="Times New Roman"/>
          <w:b/>
          <w:i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i/>
          <w:sz w:val="26"/>
          <w:szCs w:val="26"/>
          <w:lang w:val="es-ES"/>
        </w:rPr>
        <w:t>chữ</w:t>
      </w:r>
      <w:proofErr w:type="spellEnd"/>
      <w:r w:rsidRPr="001070DD">
        <w:rPr>
          <w:rFonts w:ascii="Times New Roman" w:hAnsi="Times New Roman" w:cs="Times New Roman"/>
          <w:b/>
          <w:i/>
          <w:sz w:val="26"/>
          <w:szCs w:val="26"/>
          <w:lang w:val="es-ES"/>
        </w:rPr>
        <w:t xml:space="preserve">:      </w:t>
      </w:r>
      <w:proofErr w:type="gramStart"/>
      <w:r w:rsidRPr="001070DD">
        <w:rPr>
          <w:rFonts w:ascii="Times New Roman" w:hAnsi="Times New Roman" w:cs="Times New Roman"/>
          <w:b/>
          <w:i/>
          <w:sz w:val="26"/>
          <w:szCs w:val="26"/>
          <w:lang w:val="es-ES"/>
        </w:rPr>
        <w:t xml:space="preserve">  .</w:t>
      </w:r>
      <w:proofErr w:type="gramEnd"/>
      <w:r w:rsidRPr="001070DD">
        <w:rPr>
          <w:rFonts w:ascii="Times New Roman" w:hAnsi="Times New Roman" w:cs="Times New Roman"/>
          <w:b/>
          <w:i/>
          <w:sz w:val="26"/>
          <w:szCs w:val="26"/>
          <w:lang w:val="es-ES"/>
        </w:rPr>
        <w:t>/)</w:t>
      </w:r>
    </w:p>
    <w:p w14:paraId="351F941C" w14:textId="77777777" w:rsidR="005368CD" w:rsidRPr="001070DD" w:rsidRDefault="005368CD" w:rsidP="005368C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s-ES"/>
        </w:rPr>
      </w:pPr>
    </w:p>
    <w:p w14:paraId="1781D290" w14:textId="77777777" w:rsidR="005368CD" w:rsidRPr="001070DD" w:rsidRDefault="005368CD" w:rsidP="005368CD">
      <w:pPr>
        <w:pStyle w:val="ListParagraph"/>
        <w:numPr>
          <w:ilvl w:val="0"/>
          <w:numId w:val="1"/>
        </w:numPr>
        <w:tabs>
          <w:tab w:val="left" w:pos="-360"/>
          <w:tab w:val="left" w:pos="709"/>
          <w:tab w:val="left" w:pos="6210"/>
        </w:tabs>
        <w:spacing w:line="360" w:lineRule="auto"/>
        <w:ind w:right="85"/>
        <w:jc w:val="both"/>
        <w:rPr>
          <w:rFonts w:ascii="Times New Roman" w:hAnsi="Times New Roman" w:cs="Times New Roman"/>
          <w:iCs/>
          <w:sz w:val="26"/>
          <w:szCs w:val="26"/>
          <w:lang w:val="es-ES"/>
        </w:rPr>
      </w:pP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Giá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trên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đã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bao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gồm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phí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vận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chuyển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và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lắp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đặt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tại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công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trình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trong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phạm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vi TP.HCM.</w:t>
      </w:r>
    </w:p>
    <w:p w14:paraId="6A77905D" w14:textId="77777777" w:rsidR="005368CD" w:rsidRPr="001070DD" w:rsidRDefault="005368CD" w:rsidP="005368CD">
      <w:pPr>
        <w:pStyle w:val="ListParagraph"/>
        <w:numPr>
          <w:ilvl w:val="0"/>
          <w:numId w:val="1"/>
        </w:numPr>
        <w:tabs>
          <w:tab w:val="left" w:pos="-360"/>
          <w:tab w:val="left" w:pos="709"/>
          <w:tab w:val="left" w:pos="6210"/>
        </w:tabs>
        <w:spacing w:line="360" w:lineRule="auto"/>
        <w:ind w:right="85"/>
        <w:jc w:val="both"/>
        <w:rPr>
          <w:rFonts w:ascii="Times New Roman" w:hAnsi="Times New Roman" w:cs="Times New Roman"/>
          <w:iCs/>
          <w:sz w:val="26"/>
          <w:szCs w:val="26"/>
          <w:lang w:val="es-ES"/>
        </w:rPr>
      </w:pP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Gía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trên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chưa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bao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gồm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10%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Thuế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VAT</w:t>
      </w:r>
    </w:p>
    <w:p w14:paraId="07EA2684" w14:textId="77777777" w:rsidR="005368CD" w:rsidRPr="001070DD" w:rsidRDefault="005368CD" w:rsidP="005368CD">
      <w:pPr>
        <w:pStyle w:val="ListParagraph"/>
        <w:numPr>
          <w:ilvl w:val="0"/>
          <w:numId w:val="1"/>
        </w:numPr>
        <w:tabs>
          <w:tab w:val="left" w:pos="-360"/>
          <w:tab w:val="left" w:pos="709"/>
          <w:tab w:val="left" w:pos="6210"/>
        </w:tabs>
        <w:spacing w:line="360" w:lineRule="auto"/>
        <w:ind w:right="85"/>
        <w:jc w:val="both"/>
        <w:rPr>
          <w:rFonts w:ascii="Times New Roman" w:hAnsi="Times New Roman" w:cs="Times New Roman"/>
          <w:iCs/>
          <w:sz w:val="26"/>
          <w:szCs w:val="26"/>
          <w:lang w:val="es-ES"/>
        </w:rPr>
      </w:pP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Tổng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giá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trị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có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thể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thay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đổi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,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nếu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có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phát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sinh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tăng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hoặc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giảm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khối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lượng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sau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khi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nghiệm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thu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thực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>tế</w:t>
      </w:r>
      <w:proofErr w:type="spellEnd"/>
      <w:r w:rsidRPr="001070DD">
        <w:rPr>
          <w:rFonts w:ascii="Times New Roman" w:hAnsi="Times New Roman" w:cs="Times New Roman"/>
          <w:iCs/>
          <w:sz w:val="26"/>
          <w:szCs w:val="26"/>
          <w:lang w:val="es-ES"/>
        </w:rPr>
        <w:t xml:space="preserve">. </w:t>
      </w:r>
    </w:p>
    <w:p w14:paraId="3CD44A8E" w14:textId="77777777" w:rsidR="005368CD" w:rsidRPr="001070DD" w:rsidRDefault="005368CD" w:rsidP="005368CD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chủng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lục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373CF0B2" w14:textId="77777777" w:rsidR="005368CD" w:rsidRPr="001070DD" w:rsidRDefault="005368CD" w:rsidP="005368CD">
      <w:pPr>
        <w:pStyle w:val="ListParagraph"/>
        <w:numPr>
          <w:ilvl w:val="0"/>
          <w:numId w:val="4"/>
        </w:numPr>
        <w:tabs>
          <w:tab w:val="num" w:pos="1440"/>
        </w:tabs>
        <w:spacing w:line="360" w:lineRule="auto"/>
        <w:ind w:left="426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vi-VN"/>
        </w:rPr>
      </w:pPr>
      <w:r w:rsidRPr="001070DD">
        <w:rPr>
          <w:rFonts w:ascii="Times New Roman" w:hAnsi="Times New Roman" w:cs="Times New Roman"/>
          <w:color w:val="000000"/>
          <w:sz w:val="26"/>
          <w:szCs w:val="26"/>
          <w:lang w:val="vi-VN" w:eastAsia="vi-VN"/>
        </w:rPr>
        <w:t xml:space="preserve">Báo giá đã bao gồm phụ kiện: ray, lề, tay nắm, tay nâng,… </w:t>
      </w:r>
      <w:proofErr w:type="spellStart"/>
      <w:r w:rsidRPr="001070DD">
        <w:rPr>
          <w:rFonts w:ascii="Times New Roman" w:hAnsi="Times New Roman" w:cs="Times New Roman"/>
          <w:color w:val="000000"/>
          <w:sz w:val="26"/>
          <w:szCs w:val="26"/>
          <w:lang w:eastAsia="vi-VN"/>
        </w:rPr>
        <w:t>loại</w:t>
      </w:r>
      <w:proofErr w:type="spellEnd"/>
      <w:r w:rsidRPr="001070DD">
        <w:rPr>
          <w:rFonts w:ascii="Times New Roman" w:hAnsi="Times New Roman" w:cs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/>
          <w:sz w:val="26"/>
          <w:szCs w:val="26"/>
          <w:lang w:eastAsia="vi-VN"/>
        </w:rPr>
        <w:t>phổ</w:t>
      </w:r>
      <w:proofErr w:type="spellEnd"/>
      <w:r w:rsidRPr="001070DD">
        <w:rPr>
          <w:rFonts w:ascii="Times New Roman" w:hAnsi="Times New Roman" w:cs="Times New Roman"/>
          <w:color w:val="000000"/>
          <w:sz w:val="26"/>
          <w:szCs w:val="26"/>
          <w:lang w:eastAsia="vi-VN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/>
          <w:sz w:val="26"/>
          <w:szCs w:val="26"/>
          <w:lang w:eastAsia="vi-VN"/>
        </w:rPr>
        <w:t>thông</w:t>
      </w:r>
      <w:proofErr w:type="spellEnd"/>
      <w:r w:rsidRPr="001070DD">
        <w:rPr>
          <w:rFonts w:ascii="Times New Roman" w:hAnsi="Times New Roman" w:cs="Times New Roman"/>
          <w:color w:val="000000"/>
          <w:sz w:val="26"/>
          <w:szCs w:val="26"/>
          <w:lang w:eastAsia="vi-VN"/>
        </w:rPr>
        <w:t>.</w:t>
      </w:r>
    </w:p>
    <w:p w14:paraId="37EA9E9A" w14:textId="77777777" w:rsidR="005368CD" w:rsidRPr="001070DD" w:rsidRDefault="005368CD" w:rsidP="005368CD">
      <w:pPr>
        <w:pStyle w:val="ListParagraph"/>
        <w:numPr>
          <w:ilvl w:val="0"/>
          <w:numId w:val="4"/>
        </w:numPr>
        <w:tabs>
          <w:tab w:val="num" w:pos="1440"/>
        </w:tabs>
        <w:spacing w:line="360" w:lineRule="auto"/>
        <w:ind w:left="426"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vi-VN"/>
        </w:rPr>
      </w:pPr>
      <w:r w:rsidRPr="001070DD">
        <w:rPr>
          <w:rFonts w:ascii="Times New Roman" w:hAnsi="Times New Roman" w:cs="Times New Roman"/>
          <w:color w:val="000000"/>
          <w:sz w:val="26"/>
          <w:szCs w:val="26"/>
          <w:lang w:val="vi-VN" w:eastAsia="vi-VN"/>
        </w:rPr>
        <w:t>Bảng báo giá trên chỉ bao gồm các phần báo giá cơ bản, nếu phát sinh thêm thì sẽ có bảng báo giá kèm theo</w:t>
      </w:r>
    </w:p>
    <w:p w14:paraId="3ED34DCA" w14:textId="77777777" w:rsidR="005368CD" w:rsidRPr="001070DD" w:rsidRDefault="005368CD" w:rsidP="005368CD">
      <w:pPr>
        <w:pStyle w:val="ListParagraph"/>
        <w:numPr>
          <w:ilvl w:val="0"/>
          <w:numId w:val="4"/>
        </w:numPr>
        <w:tabs>
          <w:tab w:val="num" w:pos="1440"/>
          <w:tab w:val="left" w:pos="2880"/>
        </w:tabs>
        <w:spacing w:line="36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</w:pP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lastRenderedPageBreak/>
        <w:t>Hàng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hóa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được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cấp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phải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đảm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bảo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theo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kích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thước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,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mẫu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mã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,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chất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liệu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gỗ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giống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như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thỏa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thuận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giữa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hai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bên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ghi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trong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hợp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 xml:space="preserve"> </w:t>
      </w:r>
      <w:proofErr w:type="spellStart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đồng</w:t>
      </w:r>
      <w:proofErr w:type="spellEnd"/>
      <w:r w:rsidRPr="001070DD">
        <w:rPr>
          <w:rFonts w:ascii="Times New Roman" w:hAnsi="Times New Roman" w:cs="Times New Roman"/>
          <w:color w:val="000000" w:themeColor="text1"/>
          <w:sz w:val="26"/>
          <w:szCs w:val="26"/>
          <w:lang w:val="es-ES"/>
        </w:rPr>
        <w:t>.</w:t>
      </w:r>
    </w:p>
    <w:p w14:paraId="4B5C2209" w14:textId="77777777" w:rsidR="005368CD" w:rsidRPr="001070DD" w:rsidRDefault="005368CD" w:rsidP="005368CD">
      <w:pPr>
        <w:tabs>
          <w:tab w:val="left" w:pos="1080"/>
          <w:tab w:val="left" w:pos="2880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:lang w:val="es-ES"/>
        </w:rPr>
      </w:pPr>
    </w:p>
    <w:p w14:paraId="2892A370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2.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Thời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hạn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</w:p>
    <w:p w14:paraId="1C94D64F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2.1.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Thời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hạn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là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…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tính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từ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4EE4747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…</w:t>
      </w:r>
    </w:p>
    <w:p w14:paraId="14313993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3F7A7A85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2.2. Gia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hạn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thời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gian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hoàn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thành</w:t>
      </w:r>
      <w:proofErr w:type="spellEnd"/>
    </w:p>
    <w:p w14:paraId="58BB0A0B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:</w:t>
      </w:r>
    </w:p>
    <w:p w14:paraId="1A7D3E03" w14:textId="77777777" w:rsidR="005368CD" w:rsidRPr="001070DD" w:rsidRDefault="005368CD" w:rsidP="005368CD">
      <w:pPr>
        <w:pStyle w:val="ListParagraph"/>
        <w:numPr>
          <w:ilvl w:val="0"/>
          <w:numId w:val="5"/>
        </w:numPr>
        <w:tabs>
          <w:tab w:val="clear" w:pos="1440"/>
        </w:tabs>
        <w:spacing w:before="100" w:beforeAutospacing="1" w:after="100" w:afterAutospacing="1" w:line="360" w:lineRule="auto"/>
        <w:ind w:left="142" w:firstLine="34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51C0AFC9" w14:textId="77777777" w:rsidR="005368CD" w:rsidRPr="001070DD" w:rsidRDefault="005368CD" w:rsidP="005368CD">
      <w:pPr>
        <w:pStyle w:val="ListParagraph"/>
        <w:numPr>
          <w:ilvl w:val="0"/>
          <w:numId w:val="5"/>
        </w:numPr>
        <w:tabs>
          <w:tab w:val="clear" w:pos="1440"/>
        </w:tabs>
        <w:spacing w:before="100" w:beforeAutospacing="1" w:after="100" w:afterAutospacing="1" w:line="360" w:lineRule="auto"/>
        <w:ind w:left="142" w:firstLine="34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trễ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ngại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ra.</w:t>
      </w:r>
    </w:p>
    <w:p w14:paraId="6824A2C9" w14:textId="77777777" w:rsidR="005368CD" w:rsidRPr="001070DD" w:rsidRDefault="005368CD" w:rsidP="005368CD">
      <w:pPr>
        <w:pStyle w:val="ListParagraph"/>
        <w:numPr>
          <w:ilvl w:val="0"/>
          <w:numId w:val="5"/>
        </w:numPr>
        <w:tabs>
          <w:tab w:val="clear" w:pos="1440"/>
        </w:tabs>
        <w:spacing w:before="100" w:beforeAutospacing="1" w:after="100" w:afterAutospacing="1" w:line="360" w:lineRule="auto"/>
        <w:ind w:left="142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kháng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bão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lũ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lốc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sóng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lỡ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núi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lửa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6085E105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3.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Giá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trị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</w:p>
    <w:p w14:paraId="0B165B28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: …VNĐ</w:t>
      </w:r>
    </w:p>
    <w:p w14:paraId="73B3B4F1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: …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</w:p>
    <w:p w14:paraId="50317038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VAT</w:t>
      </w:r>
    </w:p>
    <w:p w14:paraId="13AAF920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4.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Cách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thức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thanh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toán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thất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theo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từng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giai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đoạn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)</w:t>
      </w:r>
    </w:p>
    <w:p w14:paraId="2123FFDE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sz w:val="26"/>
          <w:szCs w:val="26"/>
        </w:rPr>
        <w:t xml:space="preserve">Khi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 …%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</w:p>
    <w:p w14:paraId="7D1BA6CF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: …VND</w:t>
      </w:r>
    </w:p>
    <w:p w14:paraId="28DB5820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sz w:val="26"/>
          <w:szCs w:val="26"/>
        </w:rPr>
        <w:t xml:space="preserve">Sau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70%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…%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</w:p>
    <w:p w14:paraId="01D08019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: …VND</w:t>
      </w:r>
    </w:p>
    <w:p w14:paraId="36CEE299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…%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thất</w:t>
      </w:r>
      <w:proofErr w:type="spellEnd"/>
    </w:p>
    <w:p w14:paraId="39D7E52C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: …VND</w:t>
      </w:r>
    </w:p>
    <w:p w14:paraId="2A7F8E72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5.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Trách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nhiệm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A</w:t>
      </w:r>
    </w:p>
    <w:p w14:paraId="7A886D7F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709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lastRenderedPageBreak/>
        <w:t>Chọn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5EDDA948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709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78B40AA4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709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B.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2E092D77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6.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Trách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nhiệm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B</w:t>
      </w:r>
    </w:p>
    <w:p w14:paraId="3121F9AF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709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1.</w:t>
      </w:r>
    </w:p>
    <w:p w14:paraId="7F74850A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709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chống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cháy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nổ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phạt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2%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kéo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ra,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thiên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tai,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mưa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bão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kháng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).</w:t>
      </w:r>
    </w:p>
    <w:p w14:paraId="3420C200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709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bao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67BF4D18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7.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Tạm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ngừng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chấm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dứt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đồng</w:t>
      </w:r>
      <w:proofErr w:type="spellEnd"/>
    </w:p>
    <w:p w14:paraId="30FD7C6B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7.1.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Tạm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ngừng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chấm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dứt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bởi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A (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đầu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tư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079AE187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ngưng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dứt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B:</w:t>
      </w:r>
    </w:p>
    <w:p w14:paraId="5BCAA48D" w14:textId="77777777" w:rsidR="005368CD" w:rsidRPr="001070DD" w:rsidRDefault="005368CD" w:rsidP="005368CD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08178B05" w14:textId="77777777" w:rsidR="005368CD" w:rsidRPr="001070DD" w:rsidRDefault="005368CD" w:rsidP="005368CD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sz w:val="26"/>
          <w:szCs w:val="26"/>
        </w:rPr>
        <w:t xml:space="preserve">Giao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0A3CF179" w14:textId="77777777" w:rsidR="005368CD" w:rsidRPr="001070DD" w:rsidRDefault="005368CD" w:rsidP="005368CD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phá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vỡ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cửa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5F085A57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7.2.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Tạm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ngừng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chấm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dứt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bởi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B (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Đơn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vị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5E7E9BF6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ngưng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dứt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:</w:t>
      </w:r>
    </w:p>
    <w:p w14:paraId="3A321CD6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709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2F8909DF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709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ngừng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kéo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45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374C7878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709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phá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vỡ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cửa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0BB65FE0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426"/>
          <w:tab w:val="left" w:pos="993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sz w:val="26"/>
          <w:szCs w:val="26"/>
        </w:rPr>
        <w:lastRenderedPageBreak/>
        <w:t xml:space="preserve">Vi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thuần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mỹ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6E88C467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7.3. Thanh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toán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sau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khi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chấm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dứt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đồng</w:t>
      </w:r>
      <w:proofErr w:type="spellEnd"/>
    </w:p>
    <w:p w14:paraId="0FE38DD2" w14:textId="77777777" w:rsidR="005368CD" w:rsidRPr="001070DD" w:rsidRDefault="005368CD" w:rsidP="00260977">
      <w:pPr>
        <w:pStyle w:val="ListParagraph"/>
        <w:numPr>
          <w:ilvl w:val="0"/>
          <w:numId w:val="6"/>
        </w:numPr>
        <w:tabs>
          <w:tab w:val="clear" w:pos="1440"/>
          <w:tab w:val="num" w:pos="993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dứt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27C46212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426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tổn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hư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hỏng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mát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B.</w:t>
      </w:r>
    </w:p>
    <w:p w14:paraId="33F30988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8.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Bảo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hành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án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thị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thất</w:t>
      </w:r>
      <w:proofErr w:type="spellEnd"/>
    </w:p>
    <w:p w14:paraId="0DC17AB4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sz w:val="26"/>
          <w:szCs w:val="26"/>
        </w:rPr>
        <w:t xml:space="preserve">Sau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:</w:t>
      </w:r>
    </w:p>
    <w:p w14:paraId="528D0C21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851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0817256F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851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sót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khiếm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thất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B.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7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lỗi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7B03C5D3" w14:textId="77777777" w:rsidR="005368CD" w:rsidRPr="001070DD" w:rsidRDefault="005368CD" w:rsidP="005368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9.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khoản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chung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mẫu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107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b/>
          <w:bCs/>
          <w:sz w:val="26"/>
          <w:szCs w:val="26"/>
        </w:rPr>
        <w:t>thất</w:t>
      </w:r>
      <w:proofErr w:type="spellEnd"/>
    </w:p>
    <w:p w14:paraId="5AC919D3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851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6FF09C53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851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7CAA12D6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851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23A19128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851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084A774A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851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sz w:val="26"/>
          <w:szCs w:val="26"/>
        </w:rPr>
        <w:t xml:space="preserve">Hai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h</w:t>
      </w:r>
      <w:r w:rsidRPr="001070DD">
        <w:rPr>
          <w:rFonts w:ascii="Times New Roman" w:hAnsi="Times New Roman" w:cs="Times New Roman"/>
          <w:sz w:val="26"/>
          <w:szCs w:val="26"/>
        </w:rPr>
        <w:t>ải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2BCEF780" w14:textId="77777777" w:rsidR="005368CD" w:rsidRPr="001070DD" w:rsidRDefault="005368CD" w:rsidP="005368CD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ind w:hanging="101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lục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3DF9A405" w14:textId="77777777" w:rsidR="005368CD" w:rsidRPr="001070DD" w:rsidRDefault="005368CD" w:rsidP="005368CD">
      <w:pPr>
        <w:pStyle w:val="ListParagraph"/>
        <w:numPr>
          <w:ilvl w:val="0"/>
          <w:numId w:val="6"/>
        </w:numPr>
        <w:tabs>
          <w:tab w:val="clear" w:pos="1440"/>
          <w:tab w:val="num" w:pos="993"/>
        </w:tabs>
        <w:spacing w:before="100" w:beforeAutospacing="1" w:after="100" w:afterAutospacing="1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70DD">
        <w:rPr>
          <w:rFonts w:ascii="Times New Roman" w:hAnsi="Times New Roman" w:cs="Times New Roman"/>
          <w:sz w:val="26"/>
          <w:szCs w:val="26"/>
        </w:rPr>
        <w:lastRenderedPageBreak/>
        <w:t>Hợp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02 (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 01 (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070D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1070DD">
        <w:rPr>
          <w:rFonts w:ascii="Times New Roman" w:hAnsi="Times New Roman" w:cs="Times New Roman"/>
          <w:sz w:val="26"/>
          <w:szCs w:val="26"/>
        </w:rPr>
        <w:t>.</w:t>
      </w:r>
    </w:p>
    <w:p w14:paraId="2D162856" w14:textId="77777777" w:rsidR="005368CD" w:rsidRPr="001070DD" w:rsidRDefault="005368CD" w:rsidP="005368C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70DD">
        <w:rPr>
          <w:rFonts w:ascii="Times New Roman" w:hAnsi="Times New Roman" w:cs="Times New Roman"/>
          <w:b/>
          <w:bCs/>
          <w:sz w:val="26"/>
          <w:szCs w:val="26"/>
        </w:rPr>
        <w:t>           ĐẠI DIỆN BÊN A                                                   ĐẠI DIỆN BÊN B</w:t>
      </w:r>
    </w:p>
    <w:p w14:paraId="461640E3" w14:textId="77777777" w:rsidR="005368CD" w:rsidRPr="001070DD" w:rsidRDefault="005368CD" w:rsidP="005368CD">
      <w:pPr>
        <w:tabs>
          <w:tab w:val="left" w:pos="36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1070DD">
        <w:rPr>
          <w:rFonts w:ascii="Times New Roman" w:hAnsi="Times New Roman" w:cs="Times New Roman"/>
          <w:b/>
          <w:bCs/>
          <w:sz w:val="26"/>
          <w:szCs w:val="26"/>
          <w:lang w:val="es-ES"/>
        </w:rPr>
        <w:tab/>
      </w:r>
      <w:r w:rsidRPr="001070DD">
        <w:rPr>
          <w:rFonts w:ascii="Times New Roman" w:hAnsi="Times New Roman" w:cs="Times New Roman"/>
          <w:b/>
          <w:bCs/>
          <w:sz w:val="26"/>
          <w:szCs w:val="26"/>
          <w:lang w:val="es-ES"/>
        </w:rPr>
        <w:tab/>
      </w:r>
      <w:r w:rsidRPr="001070DD">
        <w:rPr>
          <w:rFonts w:ascii="Times New Roman" w:hAnsi="Times New Roman" w:cs="Times New Roman"/>
          <w:b/>
          <w:bCs/>
          <w:sz w:val="26"/>
          <w:szCs w:val="26"/>
          <w:lang w:val="es-ES"/>
        </w:rPr>
        <w:tab/>
      </w:r>
    </w:p>
    <w:p w14:paraId="44D90C7C" w14:textId="77777777" w:rsidR="00D04C9F" w:rsidRDefault="00D04C9F"/>
    <w:sectPr w:rsidR="00D04C9F" w:rsidSect="0081764E">
      <w:footerReference w:type="default" r:id="rId5"/>
      <w:pgSz w:w="11909" w:h="16834" w:code="9"/>
      <w:pgMar w:top="1134" w:right="1134" w:bottom="1134" w:left="1701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5081278"/>
      <w:docPartObj>
        <w:docPartGallery w:val="Page Numbers (Bottom of Page)"/>
        <w:docPartUnique/>
      </w:docPartObj>
    </w:sdtPr>
    <w:sdtEndPr/>
    <w:sdtContent>
      <w:p w14:paraId="5EC40F8B" w14:textId="77777777" w:rsidR="00F93A9B" w:rsidRDefault="002609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5217D" w14:textId="77777777" w:rsidR="005535B1" w:rsidRDefault="00260977">
    <w:pPr>
      <w:pStyle w:val="Footer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B02E6"/>
    <w:multiLevelType w:val="multilevel"/>
    <w:tmpl w:val="E270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41639"/>
    <w:multiLevelType w:val="multilevel"/>
    <w:tmpl w:val="887E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A2383"/>
    <w:multiLevelType w:val="hybridMultilevel"/>
    <w:tmpl w:val="567E8CEA"/>
    <w:lvl w:ilvl="0" w:tplc="151056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211B8B"/>
    <w:multiLevelType w:val="hybridMultilevel"/>
    <w:tmpl w:val="B8A66ED0"/>
    <w:lvl w:ilvl="0" w:tplc="151056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893A62"/>
    <w:multiLevelType w:val="hybridMultilevel"/>
    <w:tmpl w:val="E362EC44"/>
    <w:lvl w:ilvl="0" w:tplc="15105638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7F8310F8"/>
    <w:multiLevelType w:val="hybridMultilevel"/>
    <w:tmpl w:val="7DC440C6"/>
    <w:lvl w:ilvl="0" w:tplc="151056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CD"/>
    <w:rsid w:val="0025669C"/>
    <w:rsid w:val="00260977"/>
    <w:rsid w:val="005368CD"/>
    <w:rsid w:val="008817F9"/>
    <w:rsid w:val="00D0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61DF0C"/>
  <w15:chartTrackingRefBased/>
  <w15:docId w15:val="{3C96D3F5-CB70-4A92-A8A5-57FB3026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8CD"/>
    <w:pPr>
      <w:spacing w:after="0" w:line="240" w:lineRule="auto"/>
    </w:pPr>
    <w:rPr>
      <w:rFonts w:ascii="VNI-Times" w:eastAsia="Times New Roman" w:hAnsi="VNI-Times" w:cs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6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CD"/>
    <w:rPr>
      <w:rFonts w:ascii="VNI-Times" w:eastAsia="Times New Roman" w:hAnsi="VNI-Times" w:cs="VNI-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5368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Phương Anh</dc:creator>
  <cp:keywords/>
  <dc:description/>
  <cp:lastModifiedBy>Phương Anh</cp:lastModifiedBy>
  <cp:revision>2</cp:revision>
  <dcterms:created xsi:type="dcterms:W3CDTF">2021-02-19T07:00:00Z</dcterms:created>
  <dcterms:modified xsi:type="dcterms:W3CDTF">2021-02-19T07:00:00Z</dcterms:modified>
</cp:coreProperties>
</file>